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DE17" w14:textId="3165C16F" w:rsidR="001D7BF2" w:rsidRPr="00D90110" w:rsidRDefault="009B06D2" w:rsidP="009B06D2">
      <w:pPr>
        <w:rPr>
          <w:sz w:val="32"/>
          <w:szCs w:val="32"/>
        </w:rPr>
      </w:pPr>
      <w:r w:rsidRPr="00D90110">
        <w:rPr>
          <w:rFonts w:cstheme="minorHAnsi"/>
          <w:sz w:val="32"/>
          <w:szCs w:val="32"/>
        </w:rPr>
        <w:t>Charte bordelaise pour l’Education Artistique et Culturelle</w:t>
      </w:r>
    </w:p>
    <w:p w14:paraId="136E2596" w14:textId="6E23BFA1" w:rsidR="00567BCB" w:rsidRPr="00EC0FC6" w:rsidRDefault="00567BCB" w:rsidP="002F1017">
      <w:pPr>
        <w:jc w:val="both"/>
        <w:rPr>
          <w:rFonts w:cstheme="minorHAnsi"/>
        </w:rPr>
      </w:pPr>
      <w:r w:rsidRPr="00EC0FC6">
        <w:rPr>
          <w:rFonts w:cstheme="minorHAnsi"/>
        </w:rPr>
        <w:t xml:space="preserve">Préambule : </w:t>
      </w:r>
    </w:p>
    <w:p w14:paraId="03A4A5B7" w14:textId="19C5BAEE" w:rsidR="00567BCB" w:rsidRPr="00D90110" w:rsidRDefault="00567BCB" w:rsidP="002F1017">
      <w:pPr>
        <w:jc w:val="both"/>
        <w:rPr>
          <w:iCs/>
        </w:rPr>
      </w:pPr>
      <w:r w:rsidRPr="00D90110">
        <w:rPr>
          <w:rFonts w:cstheme="minorHAnsi"/>
          <w:iCs/>
        </w:rPr>
        <w:t xml:space="preserve">Promouvoir l’éducation artistique et culturelle (EAC) tout au long de la vie est une priorité de la Ville de Bordeaux. </w:t>
      </w:r>
      <w:r w:rsidRPr="00D90110">
        <w:rPr>
          <w:iCs/>
        </w:rPr>
        <w:t>Dans la continuité de la Charte nationale rédigée à l’initiative du Haut Conseil de l’EAC, la Charte bordelaise fixe les grands principes de l’EAC à l’échelle de la Ville de Bordeaux, en adéquation avec les valeurs des droits culturels</w:t>
      </w:r>
      <w:r w:rsidR="00253AE2" w:rsidRPr="00D90110">
        <w:rPr>
          <w:iCs/>
        </w:rPr>
        <w:t>*</w:t>
      </w:r>
      <w:r w:rsidRPr="00D90110">
        <w:rPr>
          <w:iCs/>
        </w:rPr>
        <w:t xml:space="preserve"> et celles prévalant aux politiques publiques culturelles, à savoir :</w:t>
      </w:r>
    </w:p>
    <w:p w14:paraId="5E761620" w14:textId="77777777" w:rsidR="00567BCB" w:rsidRPr="00537FCD" w:rsidRDefault="00567BCB" w:rsidP="00537FCD">
      <w:pPr>
        <w:pStyle w:val="paragraph"/>
        <w:numPr>
          <w:ilvl w:val="0"/>
          <w:numId w:val="8"/>
        </w:numPr>
        <w:spacing w:before="0" w:beforeAutospacing="0" w:after="0" w:afterAutospacing="0"/>
        <w:jc w:val="both"/>
        <w:textAlignment w:val="baseline"/>
        <w:rPr>
          <w:rFonts w:asciiTheme="minorHAnsi" w:hAnsiTheme="minorHAnsi" w:cstheme="minorHAnsi"/>
          <w:iCs/>
          <w:sz w:val="22"/>
          <w:szCs w:val="22"/>
        </w:rPr>
      </w:pPr>
      <w:r w:rsidRPr="00537FCD">
        <w:rPr>
          <w:rStyle w:val="normaltextrun"/>
          <w:rFonts w:asciiTheme="minorHAnsi" w:hAnsiTheme="minorHAnsi" w:cstheme="minorHAnsi"/>
          <w:iCs/>
          <w:sz w:val="22"/>
          <w:szCs w:val="22"/>
        </w:rPr>
        <w:t>L’éducation à la citoyenneté et la transmission des valeurs fondamentales du vivre ensemble ;</w:t>
      </w:r>
      <w:r w:rsidRPr="00537FCD">
        <w:rPr>
          <w:rStyle w:val="eop"/>
          <w:rFonts w:asciiTheme="minorHAnsi" w:hAnsiTheme="minorHAnsi" w:cstheme="minorHAnsi"/>
          <w:iCs/>
          <w:sz w:val="22"/>
          <w:szCs w:val="22"/>
        </w:rPr>
        <w:t> </w:t>
      </w:r>
    </w:p>
    <w:p w14:paraId="733BAFC0" w14:textId="77777777" w:rsidR="00567BCB" w:rsidRPr="00537FCD" w:rsidRDefault="00567BCB" w:rsidP="00537FCD">
      <w:pPr>
        <w:pStyle w:val="paragraph"/>
        <w:numPr>
          <w:ilvl w:val="0"/>
          <w:numId w:val="8"/>
        </w:numPr>
        <w:spacing w:before="0" w:beforeAutospacing="0" w:after="0" w:afterAutospacing="0"/>
        <w:jc w:val="both"/>
        <w:textAlignment w:val="baseline"/>
        <w:rPr>
          <w:rFonts w:asciiTheme="minorHAnsi" w:hAnsiTheme="minorHAnsi" w:cstheme="minorHAnsi"/>
          <w:iCs/>
          <w:sz w:val="22"/>
          <w:szCs w:val="22"/>
        </w:rPr>
      </w:pPr>
      <w:r w:rsidRPr="00537FCD">
        <w:rPr>
          <w:rStyle w:val="normaltextrun"/>
          <w:rFonts w:asciiTheme="minorHAnsi" w:hAnsiTheme="minorHAnsi" w:cstheme="minorHAnsi"/>
          <w:iCs/>
          <w:sz w:val="22"/>
          <w:szCs w:val="22"/>
        </w:rPr>
        <w:t>L’éducation aux enjeux écologiques et climatiques ;</w:t>
      </w:r>
      <w:r w:rsidRPr="00537FCD">
        <w:rPr>
          <w:rStyle w:val="eop"/>
          <w:rFonts w:asciiTheme="minorHAnsi" w:hAnsiTheme="minorHAnsi" w:cstheme="minorHAnsi"/>
          <w:iCs/>
          <w:sz w:val="22"/>
          <w:szCs w:val="22"/>
        </w:rPr>
        <w:t> </w:t>
      </w:r>
    </w:p>
    <w:p w14:paraId="53D248B1" w14:textId="77777777" w:rsidR="00567BCB" w:rsidRPr="00537FCD" w:rsidRDefault="00567BCB" w:rsidP="00380EF1">
      <w:pPr>
        <w:pStyle w:val="paragraph"/>
        <w:numPr>
          <w:ilvl w:val="0"/>
          <w:numId w:val="8"/>
        </w:numPr>
        <w:spacing w:before="0" w:beforeAutospacing="0" w:after="0" w:afterAutospacing="0"/>
        <w:jc w:val="both"/>
        <w:textAlignment w:val="baseline"/>
        <w:rPr>
          <w:rFonts w:asciiTheme="minorHAnsi" w:hAnsiTheme="minorHAnsi" w:cstheme="minorHAnsi"/>
          <w:iCs/>
          <w:sz w:val="22"/>
          <w:szCs w:val="22"/>
        </w:rPr>
      </w:pPr>
      <w:r w:rsidRPr="00537FCD">
        <w:rPr>
          <w:rStyle w:val="normaltextrun"/>
          <w:rFonts w:asciiTheme="minorHAnsi" w:hAnsiTheme="minorHAnsi" w:cstheme="minorHAnsi"/>
          <w:iCs/>
          <w:sz w:val="22"/>
          <w:szCs w:val="22"/>
        </w:rPr>
        <w:t>L’éducation à l’égalité des genres ;</w:t>
      </w:r>
      <w:r w:rsidRPr="00537FCD">
        <w:rPr>
          <w:rStyle w:val="eop"/>
          <w:rFonts w:asciiTheme="minorHAnsi" w:hAnsiTheme="minorHAnsi" w:cstheme="minorHAnsi"/>
          <w:iCs/>
          <w:sz w:val="22"/>
          <w:szCs w:val="22"/>
        </w:rPr>
        <w:t> </w:t>
      </w:r>
    </w:p>
    <w:p w14:paraId="453B9687" w14:textId="77777777" w:rsidR="00567BCB" w:rsidRPr="00537FCD" w:rsidRDefault="00567BCB" w:rsidP="00380EF1">
      <w:pPr>
        <w:pStyle w:val="paragraph"/>
        <w:numPr>
          <w:ilvl w:val="0"/>
          <w:numId w:val="8"/>
        </w:numPr>
        <w:spacing w:before="0" w:beforeAutospacing="0" w:after="0" w:afterAutospacing="0"/>
        <w:jc w:val="both"/>
        <w:textAlignment w:val="baseline"/>
        <w:rPr>
          <w:rFonts w:asciiTheme="minorHAnsi" w:hAnsiTheme="minorHAnsi" w:cstheme="minorHAnsi"/>
          <w:iCs/>
          <w:sz w:val="22"/>
          <w:szCs w:val="22"/>
        </w:rPr>
      </w:pPr>
      <w:r w:rsidRPr="00537FCD">
        <w:rPr>
          <w:rStyle w:val="normaltextrun"/>
          <w:rFonts w:asciiTheme="minorHAnsi" w:hAnsiTheme="minorHAnsi" w:cstheme="minorHAnsi"/>
          <w:iCs/>
          <w:sz w:val="22"/>
          <w:szCs w:val="22"/>
        </w:rPr>
        <w:t>L’éducation à la laïcité et la liberté d’expression qui sont fondamentales pour permettre à toutes et tous de construire leur propre personnalité ;</w:t>
      </w:r>
      <w:r w:rsidRPr="00537FCD">
        <w:rPr>
          <w:rStyle w:val="eop"/>
          <w:rFonts w:asciiTheme="minorHAnsi" w:hAnsiTheme="minorHAnsi" w:cstheme="minorHAnsi"/>
          <w:iCs/>
          <w:sz w:val="22"/>
          <w:szCs w:val="22"/>
        </w:rPr>
        <w:t> </w:t>
      </w:r>
    </w:p>
    <w:p w14:paraId="1A0A85EC" w14:textId="32B96712" w:rsidR="00567BCB" w:rsidRPr="00537FCD" w:rsidRDefault="00567BCB" w:rsidP="00380EF1">
      <w:pPr>
        <w:pStyle w:val="paragraph"/>
        <w:numPr>
          <w:ilvl w:val="0"/>
          <w:numId w:val="8"/>
        </w:numPr>
        <w:spacing w:before="0" w:beforeAutospacing="0" w:after="0" w:afterAutospacing="0"/>
        <w:jc w:val="both"/>
        <w:textAlignment w:val="baseline"/>
        <w:rPr>
          <w:rFonts w:asciiTheme="minorHAnsi" w:hAnsiTheme="minorHAnsi" w:cstheme="minorHAnsi"/>
          <w:iCs/>
          <w:sz w:val="22"/>
          <w:szCs w:val="22"/>
        </w:rPr>
      </w:pPr>
      <w:r w:rsidRPr="00537FCD">
        <w:rPr>
          <w:rStyle w:val="normaltextrun"/>
          <w:rFonts w:asciiTheme="minorHAnsi" w:hAnsiTheme="minorHAnsi" w:cstheme="minorHAnsi"/>
          <w:iCs/>
          <w:sz w:val="22"/>
          <w:szCs w:val="22"/>
        </w:rPr>
        <w:t>L’éducation aux médias et à l’information et notamment aux risques auxquels s’exposent les jeunes en pratiquant et utilisant les réseaux sociaux ;</w:t>
      </w:r>
      <w:r w:rsidRPr="00537FCD">
        <w:rPr>
          <w:rStyle w:val="eop"/>
          <w:rFonts w:asciiTheme="minorHAnsi" w:hAnsiTheme="minorHAnsi" w:cstheme="minorHAnsi"/>
          <w:iCs/>
          <w:sz w:val="22"/>
          <w:szCs w:val="22"/>
        </w:rPr>
        <w:t> </w:t>
      </w:r>
    </w:p>
    <w:p w14:paraId="20C07026" w14:textId="77777777" w:rsidR="00567BCB" w:rsidRPr="00537FCD" w:rsidRDefault="00567BCB" w:rsidP="00380EF1">
      <w:pPr>
        <w:pStyle w:val="paragraph"/>
        <w:numPr>
          <w:ilvl w:val="0"/>
          <w:numId w:val="8"/>
        </w:numPr>
        <w:spacing w:before="0" w:beforeAutospacing="0" w:after="0" w:afterAutospacing="0"/>
        <w:jc w:val="both"/>
        <w:textAlignment w:val="baseline"/>
        <w:rPr>
          <w:rStyle w:val="eop"/>
          <w:rFonts w:asciiTheme="minorHAnsi" w:hAnsiTheme="minorHAnsi" w:cstheme="minorHAnsi"/>
          <w:iCs/>
          <w:sz w:val="22"/>
          <w:szCs w:val="22"/>
        </w:rPr>
      </w:pPr>
      <w:r w:rsidRPr="00537FCD">
        <w:rPr>
          <w:rStyle w:val="normaltextrun"/>
          <w:rFonts w:asciiTheme="minorHAnsi" w:hAnsiTheme="minorHAnsi" w:cstheme="minorHAnsi"/>
          <w:iCs/>
          <w:sz w:val="22"/>
          <w:szCs w:val="22"/>
        </w:rPr>
        <w:t>La prise en compte et le développement des activités et dispositifs accessibles à tous les publics, y compris les enfants en situation de handicap ou allophones.</w:t>
      </w:r>
      <w:r w:rsidRPr="00537FCD">
        <w:rPr>
          <w:rStyle w:val="eop"/>
          <w:rFonts w:asciiTheme="minorHAnsi" w:hAnsiTheme="minorHAnsi" w:cstheme="minorHAnsi"/>
          <w:iCs/>
          <w:sz w:val="22"/>
          <w:szCs w:val="22"/>
        </w:rPr>
        <w:t> </w:t>
      </w:r>
    </w:p>
    <w:p w14:paraId="119B2B3D" w14:textId="77777777" w:rsidR="00567BCB" w:rsidRPr="00537FCD" w:rsidRDefault="00567BCB" w:rsidP="00537FCD">
      <w:pPr>
        <w:pStyle w:val="paragraph"/>
        <w:spacing w:before="0" w:beforeAutospacing="0" w:after="0" w:afterAutospacing="0"/>
        <w:jc w:val="both"/>
        <w:textAlignment w:val="baseline"/>
        <w:rPr>
          <w:rStyle w:val="eop"/>
          <w:rFonts w:asciiTheme="minorHAnsi" w:hAnsiTheme="minorHAnsi" w:cstheme="minorHAnsi"/>
          <w:iCs/>
          <w:sz w:val="22"/>
          <w:szCs w:val="22"/>
        </w:rPr>
      </w:pPr>
    </w:p>
    <w:p w14:paraId="08D676F0" w14:textId="77777777" w:rsidR="00567BCB" w:rsidRPr="00380EF1" w:rsidRDefault="00567BCB" w:rsidP="002F1017">
      <w:pPr>
        <w:pStyle w:val="paragraph"/>
        <w:spacing w:before="0" w:beforeAutospacing="0" w:after="0" w:afterAutospacing="0"/>
        <w:jc w:val="both"/>
        <w:textAlignment w:val="baseline"/>
        <w:rPr>
          <w:rFonts w:asciiTheme="minorHAnsi" w:hAnsiTheme="minorHAnsi" w:cstheme="minorHAnsi"/>
          <w:iCs/>
          <w:sz w:val="22"/>
          <w:szCs w:val="22"/>
        </w:rPr>
      </w:pPr>
      <w:r w:rsidRPr="00380EF1">
        <w:rPr>
          <w:rFonts w:asciiTheme="minorHAnsi" w:hAnsiTheme="minorHAnsi" w:cstheme="minorHAnsi"/>
          <w:iCs/>
          <w:sz w:val="22"/>
          <w:szCs w:val="22"/>
        </w:rPr>
        <w:t xml:space="preserve">Le temps long nécessaire à l’interconnaissance et à la création du lien entre les personnes fait partie intégrante de la mise en place de projets de qualité tout comme la possibilité de réajustement en cours de parcours. </w:t>
      </w:r>
    </w:p>
    <w:p w14:paraId="77B61FBD" w14:textId="77777777" w:rsidR="008E7A5A" w:rsidRPr="00666D4E" w:rsidRDefault="008E7A5A" w:rsidP="002F1017">
      <w:pPr>
        <w:pStyle w:val="paragraph"/>
        <w:spacing w:before="0" w:beforeAutospacing="0" w:after="0" w:afterAutospacing="0"/>
        <w:jc w:val="both"/>
        <w:textAlignment w:val="baseline"/>
        <w:rPr>
          <w:rFonts w:asciiTheme="minorHAnsi" w:hAnsiTheme="minorHAnsi" w:cstheme="minorHAnsi"/>
          <w:iCs/>
          <w:sz w:val="22"/>
          <w:szCs w:val="22"/>
        </w:rPr>
      </w:pPr>
    </w:p>
    <w:p w14:paraId="269D9C5F" w14:textId="7E7F60EB" w:rsidR="00567BCB" w:rsidRPr="003C6DB5" w:rsidRDefault="00567BCB" w:rsidP="002F1017">
      <w:pPr>
        <w:pStyle w:val="paragraph"/>
        <w:spacing w:before="0" w:beforeAutospacing="0" w:after="0" w:afterAutospacing="0"/>
        <w:jc w:val="both"/>
        <w:textAlignment w:val="baseline"/>
        <w:rPr>
          <w:rFonts w:asciiTheme="minorHAnsi" w:hAnsiTheme="minorHAnsi" w:cstheme="minorHAnsi"/>
          <w:iCs/>
          <w:sz w:val="22"/>
          <w:szCs w:val="22"/>
        </w:rPr>
      </w:pPr>
      <w:r w:rsidRPr="003C6DB5">
        <w:rPr>
          <w:rFonts w:asciiTheme="minorHAnsi" w:hAnsiTheme="minorHAnsi" w:cstheme="minorHAnsi"/>
          <w:iCs/>
          <w:sz w:val="22"/>
          <w:szCs w:val="22"/>
        </w:rPr>
        <w:t>La charte proposée ci-dessous a une valeur expérimentale qui peut être amenée à évoluer sur les 5 prochaines années.</w:t>
      </w:r>
    </w:p>
    <w:p w14:paraId="02EA4F91" w14:textId="77777777" w:rsidR="00C50653" w:rsidRDefault="00C50653" w:rsidP="002F1017">
      <w:pPr>
        <w:jc w:val="both"/>
        <w:rPr>
          <w:rFonts w:cstheme="minorHAnsi"/>
        </w:rPr>
      </w:pPr>
    </w:p>
    <w:p w14:paraId="298A1C40" w14:textId="5BC0CA7C" w:rsidR="00567BCB" w:rsidRPr="00BE565E" w:rsidRDefault="002A616D" w:rsidP="002F1017">
      <w:pPr>
        <w:jc w:val="both"/>
      </w:pPr>
      <w:r w:rsidRPr="00BE565E">
        <w:rPr>
          <w:rStyle w:val="Aucun"/>
          <w:b/>
          <w:bCs/>
        </w:rPr>
        <w:t>Article 1</w:t>
      </w:r>
      <w:r w:rsidRPr="00BE565E">
        <w:t xml:space="preserve"> : L’éducation artistique et culturelle doit être accessible* à toutes et tous et tout au long de la vie, en particulier aux jeunes au sein de tous les établissements d’accueil et d’enseignement de la petite enfance à l’université et en priorité à l’école maternelle et à l’école élémentaire ainsi qu’aux personnes accueillies en structures du champ social, médico-social et socio-culturel.</w:t>
      </w:r>
    </w:p>
    <w:p w14:paraId="326A8989" w14:textId="77777777" w:rsidR="00567BCB" w:rsidRPr="00BE565E" w:rsidRDefault="00567BCB" w:rsidP="002F1017">
      <w:pPr>
        <w:pStyle w:val="Corps"/>
        <w:ind w:left="240"/>
        <w:jc w:val="both"/>
        <w:rPr>
          <w:rFonts w:asciiTheme="minorHAnsi" w:hAnsiTheme="minorHAnsi" w:cstheme="minorHAnsi"/>
          <w:color w:val="auto"/>
        </w:rPr>
      </w:pPr>
    </w:p>
    <w:p w14:paraId="3E590C08" w14:textId="77777777" w:rsidR="00666D4E" w:rsidRDefault="00567BCB" w:rsidP="00666D4E">
      <w:pPr>
        <w:pStyle w:val="Corps"/>
        <w:jc w:val="both"/>
        <w:rPr>
          <w:rStyle w:val="Aucun"/>
          <w:rFonts w:asciiTheme="minorHAnsi" w:hAnsiTheme="minorHAnsi" w:cstheme="minorHAnsi"/>
          <w:color w:val="auto"/>
        </w:rPr>
      </w:pPr>
      <w:r w:rsidRPr="00BE565E">
        <w:rPr>
          <w:rFonts w:asciiTheme="minorHAnsi" w:hAnsiTheme="minorHAnsi" w:cstheme="minorHAnsi"/>
          <w:b/>
          <w:bCs/>
          <w:color w:val="auto"/>
        </w:rPr>
        <w:t xml:space="preserve">Article 2 : </w:t>
      </w:r>
      <w:r w:rsidRPr="00BE565E">
        <w:rPr>
          <w:rStyle w:val="Aucun"/>
          <w:rFonts w:asciiTheme="minorHAnsi" w:hAnsiTheme="minorHAnsi" w:cstheme="minorHAnsi"/>
          <w:color w:val="auto"/>
        </w:rPr>
        <w:t>L’éducation artistique et culturelle associe :</w:t>
      </w:r>
    </w:p>
    <w:p w14:paraId="5233AC27" w14:textId="77777777" w:rsidR="00666D4E" w:rsidRDefault="00567BCB" w:rsidP="00666D4E">
      <w:pPr>
        <w:pStyle w:val="Corps"/>
        <w:numPr>
          <w:ilvl w:val="0"/>
          <w:numId w:val="9"/>
        </w:numPr>
        <w:jc w:val="both"/>
        <w:rPr>
          <w:rStyle w:val="Aucun"/>
          <w:rFonts w:asciiTheme="minorHAnsi" w:hAnsiTheme="minorHAnsi" w:cstheme="minorHAnsi"/>
          <w:color w:val="auto"/>
        </w:rPr>
      </w:pPr>
      <w:proofErr w:type="gramStart"/>
      <w:r w:rsidRPr="00BE565E">
        <w:rPr>
          <w:rStyle w:val="Aucun"/>
          <w:rFonts w:asciiTheme="minorHAnsi" w:hAnsiTheme="minorHAnsi" w:cstheme="minorHAnsi"/>
          <w:color w:val="auto"/>
        </w:rPr>
        <w:t>la</w:t>
      </w:r>
      <w:proofErr w:type="gramEnd"/>
      <w:r w:rsidRPr="00BE565E">
        <w:rPr>
          <w:rStyle w:val="Aucun"/>
          <w:rFonts w:asciiTheme="minorHAnsi" w:hAnsiTheme="minorHAnsi" w:cstheme="minorHAnsi"/>
          <w:color w:val="auto"/>
        </w:rPr>
        <w:t xml:space="preserve"> fréquentation* des œuvres et des lieux,</w:t>
      </w:r>
    </w:p>
    <w:p w14:paraId="0B47906B" w14:textId="77777777" w:rsidR="00666D4E" w:rsidRDefault="00567BCB" w:rsidP="00666D4E">
      <w:pPr>
        <w:pStyle w:val="Corps"/>
        <w:numPr>
          <w:ilvl w:val="0"/>
          <w:numId w:val="9"/>
        </w:numPr>
        <w:jc w:val="both"/>
        <w:rPr>
          <w:rStyle w:val="Aucun"/>
          <w:rFonts w:asciiTheme="minorHAnsi" w:hAnsiTheme="minorHAnsi" w:cstheme="minorHAnsi"/>
          <w:color w:val="auto"/>
        </w:rPr>
      </w:pPr>
      <w:proofErr w:type="gramStart"/>
      <w:r w:rsidRPr="00666D4E">
        <w:rPr>
          <w:rStyle w:val="Aucun"/>
          <w:rFonts w:asciiTheme="minorHAnsi" w:hAnsiTheme="minorHAnsi" w:cstheme="minorHAnsi"/>
          <w:color w:val="auto"/>
        </w:rPr>
        <w:t>la</w:t>
      </w:r>
      <w:proofErr w:type="gramEnd"/>
      <w:r w:rsidRPr="00666D4E">
        <w:rPr>
          <w:rStyle w:val="Aucun"/>
          <w:rFonts w:asciiTheme="minorHAnsi" w:hAnsiTheme="minorHAnsi" w:cstheme="minorHAnsi"/>
          <w:color w:val="auto"/>
        </w:rPr>
        <w:t xml:space="preserve"> rencontre* avec les artistes et les professionnels de la culture et des sciences</w:t>
      </w:r>
      <w:r w:rsidR="00340038" w:rsidRPr="00666D4E">
        <w:rPr>
          <w:rStyle w:val="Aucun"/>
          <w:rFonts w:asciiTheme="minorHAnsi" w:hAnsiTheme="minorHAnsi" w:cstheme="minorHAnsi"/>
          <w:color w:val="auto"/>
        </w:rPr>
        <w:t xml:space="preserve"> autour de sujets liés aux arts.</w:t>
      </w:r>
    </w:p>
    <w:p w14:paraId="2CAA272E" w14:textId="0440A887" w:rsidR="00567BCB" w:rsidRPr="00666D4E" w:rsidRDefault="00567BCB" w:rsidP="002F1017">
      <w:pPr>
        <w:pStyle w:val="Corps"/>
        <w:numPr>
          <w:ilvl w:val="0"/>
          <w:numId w:val="9"/>
        </w:numPr>
        <w:jc w:val="both"/>
        <w:rPr>
          <w:rFonts w:asciiTheme="minorHAnsi" w:hAnsiTheme="minorHAnsi" w:cstheme="minorHAnsi"/>
          <w:color w:val="auto"/>
        </w:rPr>
      </w:pPr>
      <w:proofErr w:type="gramStart"/>
      <w:r w:rsidRPr="00666D4E">
        <w:rPr>
          <w:rStyle w:val="Aucun"/>
          <w:rFonts w:asciiTheme="minorHAnsi" w:hAnsiTheme="minorHAnsi" w:cstheme="minorHAnsi"/>
          <w:color w:val="auto"/>
        </w:rPr>
        <w:t>la</w:t>
      </w:r>
      <w:proofErr w:type="gramEnd"/>
      <w:r w:rsidRPr="00666D4E">
        <w:rPr>
          <w:rStyle w:val="Aucun"/>
          <w:rFonts w:asciiTheme="minorHAnsi" w:hAnsiTheme="minorHAnsi" w:cstheme="minorHAnsi"/>
          <w:color w:val="auto"/>
        </w:rPr>
        <w:t xml:space="preserve"> pratique* artistique et culturelle ainsi que l’acquisition de connaissances. Dans le cadre de l’éveil culturel et artistique, l’expérience et la sensibilisation répondent respectivement aux piliers de la pratique et de l’acquisition de connaissances. </w:t>
      </w:r>
    </w:p>
    <w:p w14:paraId="4B2ADBB8" w14:textId="77777777" w:rsidR="00C50653" w:rsidRDefault="00C50653" w:rsidP="002F1017">
      <w:pPr>
        <w:pStyle w:val="Corps"/>
        <w:jc w:val="both"/>
        <w:rPr>
          <w:rStyle w:val="Aucun"/>
          <w:rFonts w:asciiTheme="minorHAnsi" w:hAnsiTheme="minorHAnsi" w:cstheme="minorHAnsi"/>
          <w:b/>
          <w:bCs/>
          <w:color w:val="auto"/>
        </w:rPr>
      </w:pPr>
    </w:p>
    <w:p w14:paraId="16ADDC5E" w14:textId="78079FFC" w:rsidR="00567BCB" w:rsidRPr="00BE565E" w:rsidRDefault="00567BCB" w:rsidP="002F1017">
      <w:pPr>
        <w:pStyle w:val="Corps"/>
        <w:jc w:val="both"/>
        <w:rPr>
          <w:rStyle w:val="Aucun"/>
          <w:rFonts w:asciiTheme="minorHAnsi" w:hAnsiTheme="minorHAnsi" w:cstheme="minorHAnsi"/>
          <w:color w:val="auto"/>
        </w:rPr>
      </w:pPr>
      <w:r w:rsidRPr="00BE565E">
        <w:rPr>
          <w:rStyle w:val="Aucun"/>
          <w:rFonts w:asciiTheme="minorHAnsi" w:hAnsiTheme="minorHAnsi" w:cstheme="minorHAnsi"/>
          <w:b/>
          <w:bCs/>
          <w:color w:val="auto"/>
        </w:rPr>
        <w:t xml:space="preserve">Article 3 : </w:t>
      </w:r>
      <w:r w:rsidRPr="00BE565E">
        <w:rPr>
          <w:rStyle w:val="Aucun"/>
          <w:rFonts w:asciiTheme="minorHAnsi" w:hAnsiTheme="minorHAnsi" w:cstheme="minorHAnsi"/>
          <w:color w:val="auto"/>
        </w:rPr>
        <w:t xml:space="preserve">L’éducation artistique et culturelle vise l’acquisition d’une culture partagée, riche et diversifiée, dans ses formes patrimoniales et contemporaines, populaires et savantes, et dans ses dimensions nationales et internationales. C’est une éducation </w:t>
      </w:r>
      <w:r w:rsidR="00253AE2" w:rsidRPr="00BE565E">
        <w:rPr>
          <w:rStyle w:val="Aucun"/>
          <w:rFonts w:asciiTheme="minorHAnsi" w:hAnsiTheme="minorHAnsi" w:cstheme="minorHAnsi"/>
          <w:color w:val="auto"/>
        </w:rPr>
        <w:t>aux arts</w:t>
      </w:r>
      <w:r w:rsidRPr="00BE565E">
        <w:rPr>
          <w:rStyle w:val="Aucun"/>
          <w:rFonts w:asciiTheme="minorHAnsi" w:hAnsiTheme="minorHAnsi" w:cstheme="minorHAnsi"/>
          <w:color w:val="auto"/>
        </w:rPr>
        <w:t xml:space="preserve"> et aux expressions culturelles.</w:t>
      </w:r>
    </w:p>
    <w:p w14:paraId="3A9838D3" w14:textId="77777777" w:rsidR="00567BCB" w:rsidRPr="00BE565E" w:rsidRDefault="00567BCB" w:rsidP="002F1017">
      <w:pPr>
        <w:pStyle w:val="Corps"/>
        <w:jc w:val="both"/>
        <w:rPr>
          <w:rFonts w:asciiTheme="minorHAnsi" w:hAnsiTheme="minorHAnsi" w:cstheme="minorHAnsi"/>
          <w:b/>
          <w:bCs/>
          <w:color w:val="auto"/>
        </w:rPr>
      </w:pPr>
    </w:p>
    <w:p w14:paraId="7CC8CFAA" w14:textId="037FA8A0" w:rsidR="00567BCB" w:rsidRPr="00BE565E" w:rsidRDefault="00567BCB" w:rsidP="002F1017">
      <w:pPr>
        <w:pStyle w:val="Corps"/>
        <w:jc w:val="both"/>
        <w:rPr>
          <w:rStyle w:val="Aucun"/>
          <w:rFonts w:asciiTheme="minorHAnsi" w:hAnsiTheme="minorHAnsi" w:cstheme="minorHAnsi"/>
          <w:color w:val="auto"/>
        </w:rPr>
      </w:pPr>
      <w:r w:rsidRPr="00BE565E">
        <w:rPr>
          <w:rFonts w:asciiTheme="minorHAnsi" w:hAnsiTheme="minorHAnsi" w:cstheme="minorHAnsi"/>
          <w:b/>
          <w:bCs/>
          <w:color w:val="auto"/>
        </w:rPr>
        <w:t xml:space="preserve">Article 4 : </w:t>
      </w:r>
      <w:r w:rsidRPr="00BE565E">
        <w:rPr>
          <w:rStyle w:val="Aucun"/>
          <w:rFonts w:asciiTheme="minorHAnsi" w:hAnsiTheme="minorHAnsi" w:cstheme="minorHAnsi"/>
          <w:color w:val="auto"/>
        </w:rPr>
        <w:t xml:space="preserve">L’éducation artistique et culturelle contribue à la formation et à l’émancipation de la personne et du citoyen, à travers le développement de sa sensibilité, de sa créativité et de son esprit critique. C’est aussi une éducation par </w:t>
      </w:r>
      <w:r w:rsidR="00340038" w:rsidRPr="00BE565E">
        <w:rPr>
          <w:rStyle w:val="Aucun"/>
          <w:rFonts w:asciiTheme="minorHAnsi" w:hAnsiTheme="minorHAnsi" w:cstheme="minorHAnsi"/>
          <w:color w:val="auto"/>
        </w:rPr>
        <w:t xml:space="preserve">les arts </w:t>
      </w:r>
      <w:r w:rsidRPr="00BE565E">
        <w:rPr>
          <w:rStyle w:val="Aucun"/>
          <w:rFonts w:asciiTheme="minorHAnsi" w:hAnsiTheme="minorHAnsi" w:cstheme="minorHAnsi"/>
          <w:color w:val="auto"/>
        </w:rPr>
        <w:t>et par la culture à travers la participation de toutes et tous.</w:t>
      </w:r>
    </w:p>
    <w:p w14:paraId="2C494944" w14:textId="77777777" w:rsidR="007329D7" w:rsidRDefault="007329D7" w:rsidP="002F1017">
      <w:pPr>
        <w:pStyle w:val="Corps"/>
        <w:jc w:val="both"/>
        <w:rPr>
          <w:rFonts w:asciiTheme="minorHAnsi" w:hAnsiTheme="minorHAnsi" w:cstheme="minorHAnsi"/>
          <w:b/>
          <w:bCs/>
          <w:color w:val="auto"/>
        </w:rPr>
      </w:pPr>
    </w:p>
    <w:p w14:paraId="44912BB4" w14:textId="0D4F0A42" w:rsidR="00567BCB" w:rsidRPr="00BE565E" w:rsidRDefault="00567BCB" w:rsidP="002F1017">
      <w:pPr>
        <w:pStyle w:val="Corps"/>
        <w:jc w:val="both"/>
        <w:rPr>
          <w:rFonts w:asciiTheme="minorHAnsi" w:hAnsiTheme="minorHAnsi" w:cstheme="minorHAnsi"/>
          <w:color w:val="auto"/>
        </w:rPr>
      </w:pPr>
      <w:r w:rsidRPr="00BE565E">
        <w:rPr>
          <w:rFonts w:asciiTheme="minorHAnsi" w:hAnsiTheme="minorHAnsi" w:cstheme="minorHAnsi"/>
          <w:b/>
          <w:bCs/>
          <w:color w:val="auto"/>
        </w:rPr>
        <w:lastRenderedPageBreak/>
        <w:t xml:space="preserve">Article 5 : </w:t>
      </w:r>
      <w:r w:rsidRPr="00BE565E">
        <w:rPr>
          <w:rFonts w:asciiTheme="minorHAnsi" w:hAnsiTheme="minorHAnsi" w:cstheme="minorHAnsi"/>
          <w:color w:val="auto"/>
        </w:rPr>
        <w:t xml:space="preserve">L’éducation artistique et culturelle prend en compte tous les temps de la vie des jeunes, extrascolaires, périscolaires et scolaires, dans le cadre d’un parcours cohérent impliquant leur environnement familial et amical. </w:t>
      </w:r>
    </w:p>
    <w:p w14:paraId="76ECF1E2" w14:textId="77777777" w:rsidR="00567BCB" w:rsidRPr="00BE565E" w:rsidRDefault="00567BCB" w:rsidP="002F1017">
      <w:pPr>
        <w:pStyle w:val="Corps"/>
        <w:jc w:val="both"/>
        <w:rPr>
          <w:rFonts w:asciiTheme="minorHAnsi" w:hAnsiTheme="minorHAnsi" w:cstheme="minorHAnsi"/>
          <w:color w:val="auto"/>
        </w:rPr>
      </w:pPr>
    </w:p>
    <w:p w14:paraId="0A79FE93" w14:textId="50787ACE" w:rsidR="00567BCB" w:rsidRPr="007329D7" w:rsidRDefault="00567BCB" w:rsidP="002F1017">
      <w:pPr>
        <w:pStyle w:val="Corps"/>
        <w:jc w:val="both"/>
        <w:rPr>
          <w:rFonts w:asciiTheme="minorHAnsi" w:hAnsiTheme="minorHAnsi" w:cstheme="minorHAnsi"/>
          <w:color w:val="auto"/>
        </w:rPr>
      </w:pPr>
      <w:r w:rsidRPr="00BE565E">
        <w:rPr>
          <w:rFonts w:asciiTheme="minorHAnsi" w:hAnsiTheme="minorHAnsi" w:cstheme="minorHAnsi"/>
          <w:b/>
          <w:bCs/>
          <w:color w:val="auto"/>
        </w:rPr>
        <w:t xml:space="preserve">Article 6 : </w:t>
      </w:r>
      <w:r w:rsidRPr="00BE565E">
        <w:rPr>
          <w:rFonts w:asciiTheme="minorHAnsi" w:hAnsiTheme="minorHAnsi" w:cstheme="minorHAnsi"/>
          <w:color w:val="auto"/>
        </w:rPr>
        <w:t>L’éducation artistique et culturelle</w:t>
      </w:r>
      <w:r w:rsidR="001F73AE" w:rsidRPr="00BE565E">
        <w:rPr>
          <w:rFonts w:asciiTheme="minorHAnsi" w:hAnsiTheme="minorHAnsi" w:cstheme="minorHAnsi"/>
          <w:color w:val="auto"/>
        </w:rPr>
        <w:t>, en intégrant le consentement de toutes et tous,</w:t>
      </w:r>
      <w:r w:rsidRPr="00BE565E">
        <w:rPr>
          <w:rFonts w:asciiTheme="minorHAnsi" w:hAnsiTheme="minorHAnsi" w:cstheme="minorHAnsi"/>
          <w:color w:val="auto"/>
        </w:rPr>
        <w:t xml:space="preserve"> permet de donner du sens à leurs expériences, à leur relation à l’autre et de mieux appréhender le monde contemporain. </w:t>
      </w:r>
    </w:p>
    <w:p w14:paraId="0527F3FF" w14:textId="77777777" w:rsidR="00567BCB" w:rsidRPr="00BE565E" w:rsidRDefault="00567BCB" w:rsidP="002F1017">
      <w:pPr>
        <w:pStyle w:val="Corps"/>
        <w:jc w:val="both"/>
        <w:rPr>
          <w:rFonts w:asciiTheme="minorHAnsi" w:hAnsiTheme="minorHAnsi" w:cstheme="minorHAnsi"/>
          <w:b/>
          <w:bCs/>
          <w:color w:val="auto"/>
        </w:rPr>
      </w:pPr>
    </w:p>
    <w:p w14:paraId="2AB8DB58" w14:textId="1F563805" w:rsidR="001F73AE" w:rsidRPr="00BE565E" w:rsidRDefault="00567BCB" w:rsidP="002F1017">
      <w:pPr>
        <w:pStyle w:val="Corps"/>
        <w:jc w:val="both"/>
        <w:rPr>
          <w:rFonts w:asciiTheme="minorHAnsi" w:hAnsiTheme="minorHAnsi" w:cstheme="minorHAnsi"/>
          <w:strike/>
          <w:color w:val="auto"/>
        </w:rPr>
      </w:pPr>
      <w:r w:rsidRPr="00BE565E">
        <w:rPr>
          <w:rFonts w:asciiTheme="minorHAnsi" w:hAnsiTheme="minorHAnsi" w:cstheme="minorHAnsi"/>
          <w:b/>
          <w:bCs/>
          <w:color w:val="auto"/>
        </w:rPr>
        <w:t xml:space="preserve">Article 7 : </w:t>
      </w:r>
      <w:r w:rsidRPr="00BE565E">
        <w:rPr>
          <w:rFonts w:asciiTheme="minorHAnsi" w:hAnsiTheme="minorHAnsi" w:cstheme="minorHAnsi"/>
          <w:color w:val="auto"/>
        </w:rPr>
        <w:t xml:space="preserve">L’égal accès de toutes et tous à l’éducation artistique et culturelle repose sur l’engagement mutuel </w:t>
      </w:r>
      <w:r w:rsidR="006F0A84" w:rsidRPr="00BE565E">
        <w:rPr>
          <w:rFonts w:asciiTheme="minorHAnsi" w:hAnsiTheme="minorHAnsi" w:cstheme="minorHAnsi"/>
          <w:color w:val="auto"/>
        </w:rPr>
        <w:t xml:space="preserve">et la coopération </w:t>
      </w:r>
      <w:r w:rsidRPr="00BE565E">
        <w:rPr>
          <w:rFonts w:asciiTheme="minorHAnsi" w:hAnsiTheme="minorHAnsi" w:cstheme="minorHAnsi"/>
          <w:color w:val="auto"/>
        </w:rPr>
        <w:t>entre tous les partenaires.  </w:t>
      </w:r>
      <w:r w:rsidRPr="00BE565E">
        <w:rPr>
          <w:rFonts w:asciiTheme="minorHAnsi" w:hAnsiTheme="minorHAnsi" w:cstheme="minorHAnsi"/>
          <w:strike/>
          <w:color w:val="auto"/>
        </w:rPr>
        <w:t xml:space="preserve"> </w:t>
      </w:r>
    </w:p>
    <w:p w14:paraId="3ED2251F" w14:textId="77777777" w:rsidR="00567BCB" w:rsidRPr="00BE565E" w:rsidRDefault="00567BCB" w:rsidP="002F1017">
      <w:pPr>
        <w:pStyle w:val="Corps"/>
        <w:jc w:val="both"/>
        <w:rPr>
          <w:rFonts w:asciiTheme="minorHAnsi" w:hAnsiTheme="minorHAnsi" w:cstheme="minorHAnsi"/>
          <w:b/>
          <w:bCs/>
          <w:color w:val="auto"/>
        </w:rPr>
      </w:pPr>
    </w:p>
    <w:p w14:paraId="19430D66" w14:textId="35930647" w:rsidR="00567BCB" w:rsidRPr="00BE565E" w:rsidRDefault="00567BCB" w:rsidP="002F1017">
      <w:pPr>
        <w:pStyle w:val="Corps"/>
        <w:jc w:val="both"/>
        <w:rPr>
          <w:rFonts w:asciiTheme="minorHAnsi" w:hAnsiTheme="minorHAnsi" w:cstheme="minorHAnsi"/>
          <w:color w:val="auto"/>
        </w:rPr>
      </w:pPr>
      <w:r w:rsidRPr="00BE565E">
        <w:rPr>
          <w:rFonts w:asciiTheme="minorHAnsi" w:hAnsiTheme="minorHAnsi" w:cstheme="minorHAnsi"/>
          <w:b/>
          <w:bCs/>
          <w:color w:val="auto"/>
        </w:rPr>
        <w:t xml:space="preserve">Article 8 : </w:t>
      </w:r>
      <w:r w:rsidRPr="00BE565E">
        <w:rPr>
          <w:rFonts w:asciiTheme="minorHAnsi" w:hAnsiTheme="minorHAnsi" w:cstheme="minorHAnsi"/>
          <w:color w:val="auto"/>
        </w:rPr>
        <w:t xml:space="preserve">L’éducation artistique et culturelle relève d’une dynamique de projets associant ces partenaires (conception, évaluation, mise en œuvre) dans une logique de co-construction de parcours sur le temps long. </w:t>
      </w:r>
    </w:p>
    <w:p w14:paraId="3C65D3A7" w14:textId="77777777" w:rsidR="00567BCB" w:rsidRPr="00BE565E" w:rsidRDefault="00567BCB" w:rsidP="002F1017">
      <w:pPr>
        <w:pStyle w:val="Corps"/>
        <w:jc w:val="both"/>
        <w:rPr>
          <w:rFonts w:asciiTheme="minorHAnsi" w:hAnsiTheme="minorHAnsi" w:cstheme="minorHAnsi"/>
          <w:b/>
          <w:bCs/>
          <w:color w:val="auto"/>
        </w:rPr>
      </w:pPr>
    </w:p>
    <w:p w14:paraId="29758017" w14:textId="77777777" w:rsidR="00567BCB" w:rsidRPr="00BE565E" w:rsidRDefault="00567BCB" w:rsidP="002F1017">
      <w:pPr>
        <w:pStyle w:val="Corps"/>
        <w:jc w:val="both"/>
        <w:rPr>
          <w:rFonts w:asciiTheme="minorHAnsi" w:hAnsiTheme="minorHAnsi" w:cstheme="minorHAnsi"/>
          <w:b/>
          <w:bCs/>
          <w:color w:val="auto"/>
        </w:rPr>
      </w:pPr>
      <w:r w:rsidRPr="00BE565E">
        <w:rPr>
          <w:rFonts w:asciiTheme="minorHAnsi" w:hAnsiTheme="minorHAnsi" w:cstheme="minorHAnsi"/>
          <w:b/>
          <w:bCs/>
          <w:color w:val="auto"/>
        </w:rPr>
        <w:t xml:space="preserve">Article 9 : </w:t>
      </w:r>
      <w:r w:rsidRPr="00BE565E">
        <w:rPr>
          <w:rFonts w:asciiTheme="minorHAnsi" w:hAnsiTheme="minorHAnsi" w:cstheme="minorHAnsi"/>
          <w:color w:val="auto"/>
        </w:rPr>
        <w:t>L’éducation artistique et culturelle nécessite une formation ou une sensibilisation des différents acteurs favorisant leur connaissance mutuelle, l’acquisition et le partage de références communes.</w:t>
      </w:r>
      <w:r w:rsidRPr="00BE565E">
        <w:rPr>
          <w:rFonts w:asciiTheme="minorHAnsi" w:hAnsiTheme="minorHAnsi" w:cstheme="minorHAnsi"/>
          <w:b/>
          <w:bCs/>
          <w:color w:val="auto"/>
        </w:rPr>
        <w:t xml:space="preserve"> </w:t>
      </w:r>
    </w:p>
    <w:p w14:paraId="26E9F8C5" w14:textId="77777777" w:rsidR="00567BCB" w:rsidRPr="00BE565E" w:rsidRDefault="00567BCB" w:rsidP="002F1017">
      <w:pPr>
        <w:pStyle w:val="Corps"/>
        <w:jc w:val="both"/>
        <w:rPr>
          <w:rFonts w:asciiTheme="minorHAnsi" w:hAnsiTheme="minorHAnsi" w:cstheme="minorHAnsi"/>
          <w:b/>
          <w:bCs/>
          <w:color w:val="auto"/>
        </w:rPr>
      </w:pPr>
    </w:p>
    <w:p w14:paraId="78F96D10" w14:textId="71C155C6" w:rsidR="00567BCB" w:rsidRDefault="00567BCB" w:rsidP="002F1017">
      <w:pPr>
        <w:pStyle w:val="Corps"/>
        <w:jc w:val="both"/>
        <w:rPr>
          <w:rFonts w:asciiTheme="minorHAnsi" w:hAnsiTheme="minorHAnsi" w:cstheme="minorHAnsi"/>
          <w:color w:val="auto"/>
        </w:rPr>
      </w:pPr>
      <w:r w:rsidRPr="00BE565E">
        <w:rPr>
          <w:rStyle w:val="Aucun"/>
          <w:rFonts w:asciiTheme="minorHAnsi" w:hAnsiTheme="minorHAnsi" w:cstheme="minorHAnsi"/>
          <w:b/>
          <w:bCs/>
          <w:color w:val="auto"/>
        </w:rPr>
        <w:t>Article 10</w:t>
      </w:r>
      <w:r w:rsidRPr="00BE565E">
        <w:rPr>
          <w:rFonts w:asciiTheme="minorHAnsi" w:hAnsiTheme="minorHAnsi" w:cstheme="minorHAnsi"/>
          <w:color w:val="auto"/>
        </w:rPr>
        <w:t xml:space="preserve"> : Le développement de l’éducation artistique et culturelle doit faire l’objet de travaux de recherche et d’évaluation permettant un réajustement des projets pour être à l’écoute des personnes avec un suivi des indicateurs prédéfinis en commun dans le but d’améliorer </w:t>
      </w:r>
      <w:r w:rsidR="00340038" w:rsidRPr="00BE565E">
        <w:rPr>
          <w:rFonts w:asciiTheme="minorHAnsi" w:hAnsiTheme="minorHAnsi" w:cstheme="minorHAnsi"/>
          <w:color w:val="auto"/>
        </w:rPr>
        <w:t xml:space="preserve">leur </w:t>
      </w:r>
      <w:r w:rsidRPr="00BE565E">
        <w:rPr>
          <w:rFonts w:asciiTheme="minorHAnsi" w:hAnsiTheme="minorHAnsi" w:cstheme="minorHAnsi"/>
          <w:color w:val="auto"/>
        </w:rPr>
        <w:t xml:space="preserve">qualité et </w:t>
      </w:r>
      <w:r w:rsidR="00307C4C" w:rsidRPr="00BE565E">
        <w:rPr>
          <w:rFonts w:asciiTheme="minorHAnsi" w:hAnsiTheme="minorHAnsi" w:cstheme="minorHAnsi"/>
          <w:color w:val="auto"/>
        </w:rPr>
        <w:t xml:space="preserve">d’encourager les démarches d’expérimentation et d’innovation.  </w:t>
      </w:r>
    </w:p>
    <w:p w14:paraId="21250193" w14:textId="77777777" w:rsidR="001D7BF2" w:rsidRDefault="001D7BF2" w:rsidP="00C311F4">
      <w:pPr>
        <w:pStyle w:val="Corps"/>
        <w:rPr>
          <w:rFonts w:asciiTheme="minorHAnsi" w:hAnsiTheme="minorHAnsi" w:cstheme="minorHAnsi"/>
          <w:b/>
          <w:bCs/>
          <w:color w:val="auto"/>
          <w:u w:val="single"/>
        </w:rPr>
      </w:pPr>
    </w:p>
    <w:p w14:paraId="5978435A" w14:textId="77777777" w:rsidR="001D7BF2" w:rsidRDefault="00567BCB" w:rsidP="00C311F4">
      <w:pPr>
        <w:pStyle w:val="Corps"/>
        <w:rPr>
          <w:noProof/>
        </w:rPr>
      </w:pPr>
      <w:r w:rsidRPr="00BE565E">
        <w:rPr>
          <w:rFonts w:asciiTheme="minorHAnsi" w:hAnsiTheme="minorHAnsi" w:cstheme="minorHAnsi"/>
          <w:b/>
          <w:bCs/>
          <w:color w:val="auto"/>
          <w:u w:val="single"/>
        </w:rPr>
        <w:t>Définition</w:t>
      </w:r>
      <w:r w:rsidR="00C311F4">
        <w:rPr>
          <w:rFonts w:asciiTheme="minorHAnsi" w:hAnsiTheme="minorHAnsi" w:cstheme="minorHAnsi"/>
          <w:b/>
          <w:bCs/>
          <w:color w:val="auto"/>
          <w:u w:val="single"/>
        </w:rPr>
        <w:t xml:space="preserve">s </w:t>
      </w:r>
    </w:p>
    <w:p w14:paraId="198FCF33" w14:textId="77777777" w:rsidR="00567BCB" w:rsidRPr="00BE565E" w:rsidRDefault="00567BCB" w:rsidP="002F1017">
      <w:pPr>
        <w:pStyle w:val="Corps"/>
        <w:jc w:val="both"/>
        <w:rPr>
          <w:rFonts w:asciiTheme="minorHAnsi" w:hAnsiTheme="minorHAnsi" w:cstheme="minorHAnsi"/>
          <w:b/>
          <w:bCs/>
          <w:color w:val="auto"/>
          <w:u w:val="single"/>
        </w:rPr>
      </w:pPr>
    </w:p>
    <w:p w14:paraId="1965B6C3" w14:textId="77777777" w:rsidR="007329D7" w:rsidRDefault="00567BCB" w:rsidP="007329D7">
      <w:pPr>
        <w:spacing w:line="276" w:lineRule="auto"/>
        <w:jc w:val="both"/>
        <w:rPr>
          <w:rFonts w:cstheme="minorHAnsi"/>
        </w:rPr>
      </w:pPr>
      <w:r w:rsidRPr="007329D7">
        <w:rPr>
          <w:rFonts w:cstheme="minorHAnsi"/>
        </w:rPr>
        <w:t>*</w:t>
      </w:r>
      <w:r w:rsidRPr="007329D7">
        <w:rPr>
          <w:rFonts w:cstheme="minorHAnsi"/>
          <w:b/>
          <w:bCs/>
        </w:rPr>
        <w:t>Accessibilité / accessible</w:t>
      </w:r>
      <w:r w:rsidRPr="007329D7">
        <w:rPr>
          <w:rFonts w:cstheme="minorHAnsi"/>
        </w:rPr>
        <w:t xml:space="preserve"> : possibilité, pour </w:t>
      </w:r>
      <w:r w:rsidR="00307C4C" w:rsidRPr="007329D7">
        <w:rPr>
          <w:rFonts w:cstheme="minorHAnsi"/>
        </w:rPr>
        <w:t xml:space="preserve">toutes et </w:t>
      </w:r>
      <w:r w:rsidRPr="007329D7">
        <w:rPr>
          <w:rFonts w:cstheme="minorHAnsi"/>
        </w:rPr>
        <w:t xml:space="preserve">tous, d’accéder à une pratique, de disposer d’informations et de connaissances. </w:t>
      </w:r>
    </w:p>
    <w:p w14:paraId="511D7AF1" w14:textId="28993A7E" w:rsidR="008E7A5A" w:rsidRPr="007329D7" w:rsidRDefault="00567BCB" w:rsidP="007329D7">
      <w:pPr>
        <w:spacing w:line="276" w:lineRule="auto"/>
        <w:jc w:val="both"/>
        <w:rPr>
          <w:rFonts w:cstheme="minorHAnsi"/>
        </w:rPr>
      </w:pPr>
      <w:r w:rsidRPr="007329D7">
        <w:rPr>
          <w:rFonts w:cstheme="minorHAnsi"/>
        </w:rPr>
        <w:t>L’accessibilité peut se traduire par le développement d’outils spécifiques pour rendre du contenu ou des pratiques accessibles.</w:t>
      </w:r>
    </w:p>
    <w:p w14:paraId="61CF28D9" w14:textId="1207C0D6" w:rsidR="00567BCB" w:rsidRPr="008E7A5A" w:rsidRDefault="00567BCB" w:rsidP="007329D7">
      <w:pPr>
        <w:pStyle w:val="Corps"/>
        <w:jc w:val="both"/>
        <w:rPr>
          <w:rFonts w:asciiTheme="minorHAnsi" w:hAnsiTheme="minorHAnsi" w:cstheme="minorHAnsi"/>
          <w:b/>
          <w:color w:val="auto"/>
        </w:rPr>
      </w:pPr>
      <w:r w:rsidRPr="008E7A5A">
        <w:rPr>
          <w:rFonts w:asciiTheme="minorHAnsi" w:hAnsiTheme="minorHAnsi" w:cstheme="minorHAnsi"/>
          <w:b/>
          <w:color w:val="auto"/>
        </w:rPr>
        <w:t>*3 piliers</w:t>
      </w:r>
    </w:p>
    <w:p w14:paraId="635F01A5" w14:textId="48824C87" w:rsidR="00567BCB" w:rsidRPr="00BE565E" w:rsidRDefault="00567BCB" w:rsidP="007329D7">
      <w:pPr>
        <w:pStyle w:val="Corps"/>
        <w:numPr>
          <w:ilvl w:val="0"/>
          <w:numId w:val="10"/>
        </w:numPr>
        <w:jc w:val="both"/>
        <w:rPr>
          <w:rFonts w:asciiTheme="minorHAnsi" w:hAnsiTheme="minorHAnsi" w:cstheme="minorHAnsi"/>
          <w:color w:val="auto"/>
        </w:rPr>
      </w:pPr>
      <w:r w:rsidRPr="00BE565E">
        <w:rPr>
          <w:rFonts w:asciiTheme="minorHAnsi" w:hAnsiTheme="minorHAnsi" w:cstheme="minorHAnsi"/>
          <w:color w:val="auto"/>
        </w:rPr>
        <w:t>FAIRE</w:t>
      </w:r>
      <w:r w:rsidR="00D01683">
        <w:rPr>
          <w:rFonts w:asciiTheme="minorHAnsi" w:hAnsiTheme="minorHAnsi" w:cstheme="minorHAnsi"/>
          <w:color w:val="auto"/>
        </w:rPr>
        <w:t xml:space="preserve"> : </w:t>
      </w:r>
      <w:r w:rsidRPr="00BE565E">
        <w:rPr>
          <w:rFonts w:asciiTheme="minorHAnsi" w:hAnsiTheme="minorHAnsi" w:cstheme="minorHAnsi"/>
          <w:color w:val="auto"/>
        </w:rPr>
        <w:t xml:space="preserve">pratiquer les arts dans le plus de domaines possibles </w:t>
      </w:r>
    </w:p>
    <w:p w14:paraId="4ECEF799" w14:textId="35AE2797" w:rsidR="00567BCB" w:rsidRPr="00BE565E" w:rsidRDefault="00D01683" w:rsidP="007329D7">
      <w:pPr>
        <w:pStyle w:val="Corps"/>
        <w:numPr>
          <w:ilvl w:val="0"/>
          <w:numId w:val="10"/>
        </w:numPr>
        <w:jc w:val="both"/>
        <w:rPr>
          <w:rFonts w:asciiTheme="minorHAnsi" w:hAnsiTheme="minorHAnsi" w:cstheme="minorHAnsi"/>
          <w:color w:val="auto"/>
        </w:rPr>
      </w:pPr>
      <w:r>
        <w:rPr>
          <w:rFonts w:asciiTheme="minorHAnsi" w:hAnsiTheme="minorHAnsi" w:cstheme="minorHAnsi"/>
          <w:color w:val="auto"/>
        </w:rPr>
        <w:t>RENCONTRER : é</w:t>
      </w:r>
      <w:r w:rsidR="00567BCB" w:rsidRPr="00BE565E">
        <w:rPr>
          <w:rFonts w:asciiTheme="minorHAnsi" w:hAnsiTheme="minorHAnsi" w:cstheme="minorHAnsi"/>
          <w:color w:val="auto"/>
        </w:rPr>
        <w:t>prouver</w:t>
      </w:r>
      <w:r>
        <w:rPr>
          <w:rFonts w:asciiTheme="minorHAnsi" w:hAnsiTheme="minorHAnsi" w:cstheme="minorHAnsi"/>
          <w:color w:val="auto"/>
        </w:rPr>
        <w:t>, v</w:t>
      </w:r>
      <w:r w:rsidR="00567BCB" w:rsidRPr="00BE565E">
        <w:rPr>
          <w:rFonts w:asciiTheme="minorHAnsi" w:hAnsiTheme="minorHAnsi" w:cstheme="minorHAnsi"/>
          <w:color w:val="auto"/>
        </w:rPr>
        <w:t xml:space="preserve">oir, entendre, découvrir des œuvres, fréquenter les lieux de culture </w:t>
      </w:r>
      <w:r>
        <w:rPr>
          <w:rFonts w:asciiTheme="minorHAnsi" w:hAnsiTheme="minorHAnsi" w:cstheme="minorHAnsi"/>
          <w:color w:val="auto"/>
        </w:rPr>
        <w:t>et des sciences</w:t>
      </w:r>
    </w:p>
    <w:p w14:paraId="74FD8E8E" w14:textId="0C1BD5EF" w:rsidR="00567BCB" w:rsidRPr="00BE565E" w:rsidRDefault="00D01683" w:rsidP="007329D7">
      <w:pPr>
        <w:pStyle w:val="Corps"/>
        <w:numPr>
          <w:ilvl w:val="0"/>
          <w:numId w:val="10"/>
        </w:numPr>
        <w:jc w:val="both"/>
        <w:rPr>
          <w:rFonts w:asciiTheme="minorHAnsi" w:hAnsiTheme="minorHAnsi" w:cstheme="minorHAnsi"/>
          <w:color w:val="auto"/>
        </w:rPr>
      </w:pPr>
      <w:r>
        <w:rPr>
          <w:rFonts w:asciiTheme="minorHAnsi" w:hAnsiTheme="minorHAnsi" w:cstheme="minorHAnsi"/>
          <w:color w:val="auto"/>
        </w:rPr>
        <w:t>S’APPROPRIER : c</w:t>
      </w:r>
      <w:r w:rsidR="00567BCB" w:rsidRPr="00BE565E">
        <w:rPr>
          <w:rFonts w:asciiTheme="minorHAnsi" w:hAnsiTheme="minorHAnsi" w:cstheme="minorHAnsi"/>
          <w:color w:val="auto"/>
        </w:rPr>
        <w:t>omprendre</w:t>
      </w:r>
      <w:r>
        <w:rPr>
          <w:rFonts w:asciiTheme="minorHAnsi" w:hAnsiTheme="minorHAnsi" w:cstheme="minorHAnsi"/>
          <w:color w:val="auto"/>
        </w:rPr>
        <w:t>, ré</w:t>
      </w:r>
      <w:r w:rsidR="00567BCB" w:rsidRPr="00BE565E">
        <w:rPr>
          <w:rFonts w:asciiTheme="minorHAnsi" w:hAnsiTheme="minorHAnsi" w:cstheme="minorHAnsi"/>
          <w:color w:val="auto"/>
        </w:rPr>
        <w:t>fléchir sur les expériences, parler, faire parler, susciter les commentaires, interpréter ses émotions et les exprimer</w:t>
      </w:r>
    </w:p>
    <w:p w14:paraId="0D4CB1F6" w14:textId="77777777" w:rsidR="00567BCB" w:rsidRPr="00BE565E" w:rsidRDefault="00567BCB" w:rsidP="002F1017">
      <w:pPr>
        <w:pStyle w:val="Corps"/>
        <w:ind w:left="240"/>
        <w:jc w:val="both"/>
        <w:rPr>
          <w:rFonts w:asciiTheme="minorHAnsi" w:hAnsiTheme="minorHAnsi" w:cstheme="minorHAnsi"/>
          <w:color w:val="auto"/>
        </w:rPr>
      </w:pPr>
    </w:p>
    <w:p w14:paraId="5253E88F" w14:textId="2C2A0DAF" w:rsidR="00567BCB" w:rsidRPr="00BE565E" w:rsidRDefault="007329D7" w:rsidP="007329D7">
      <w:pPr>
        <w:pStyle w:val="Corps"/>
        <w:jc w:val="both"/>
        <w:rPr>
          <w:rFonts w:asciiTheme="minorHAnsi" w:hAnsiTheme="minorHAnsi" w:cstheme="minorHAnsi"/>
          <w:color w:val="auto"/>
        </w:rPr>
      </w:pPr>
      <w:r>
        <w:rPr>
          <w:rFonts w:asciiTheme="minorHAnsi" w:hAnsiTheme="minorHAnsi" w:cstheme="minorHAnsi"/>
          <w:color w:val="auto"/>
        </w:rPr>
        <w:t>*</w:t>
      </w:r>
      <w:r w:rsidR="00567BCB" w:rsidRPr="008E7A5A">
        <w:rPr>
          <w:rFonts w:asciiTheme="minorHAnsi" w:hAnsiTheme="minorHAnsi" w:cstheme="minorHAnsi"/>
          <w:b/>
          <w:color w:val="auto"/>
        </w:rPr>
        <w:t>Droits culturels</w:t>
      </w:r>
    </w:p>
    <w:p w14:paraId="780D86A5" w14:textId="4BFE9B93" w:rsidR="00567BCB" w:rsidRDefault="00567BCB" w:rsidP="002F1017">
      <w:pPr>
        <w:pStyle w:val="Corps"/>
        <w:jc w:val="both"/>
        <w:rPr>
          <w:rFonts w:ascii="Calibri" w:hAnsi="Calibri"/>
          <w:color w:val="auto"/>
        </w:rPr>
      </w:pPr>
      <w:r w:rsidRPr="007329D7">
        <w:rPr>
          <w:rFonts w:ascii="Calibri" w:hAnsi="Calibri"/>
          <w:color w:val="auto"/>
        </w:rPr>
        <w:t>Selon le philosophe Patrice Meyer-</w:t>
      </w:r>
      <w:proofErr w:type="spellStart"/>
      <w:r w:rsidRPr="007329D7">
        <w:rPr>
          <w:rFonts w:ascii="Calibri" w:hAnsi="Calibri"/>
          <w:color w:val="auto"/>
        </w:rPr>
        <w:t>Bisch</w:t>
      </w:r>
      <w:proofErr w:type="spellEnd"/>
      <w:r w:rsidRPr="007329D7">
        <w:rPr>
          <w:rFonts w:ascii="Calibri" w:hAnsi="Calibri"/>
          <w:color w:val="auto"/>
        </w:rPr>
        <w:t xml:space="preserve">, président de l'Observatoire de la diversité et des droits culturels de Fribourg (Suisse), les droits culturels désignent </w:t>
      </w:r>
      <w:r w:rsidR="00BE565E" w:rsidRPr="007329D7">
        <w:rPr>
          <w:rFonts w:ascii="Calibri" w:hAnsi="Calibri"/>
          <w:color w:val="auto"/>
        </w:rPr>
        <w:t>« </w:t>
      </w:r>
      <w:r w:rsidRPr="007329D7">
        <w:rPr>
          <w:rFonts w:ascii="Calibri" w:hAnsi="Calibri"/>
          <w:color w:val="auto"/>
        </w:rPr>
        <w:t>les droits, libertés et responsabilités pour une personne, seule ou en groupe, avec et pour autrui, de choisir et d’exprimer son identité, et d’accéder aux références culturelles, comme à autant de ressources nécessaires à son processus d’identification</w:t>
      </w:r>
      <w:r w:rsidR="00BE565E" w:rsidRPr="007329D7">
        <w:rPr>
          <w:rFonts w:ascii="Calibri" w:hAnsi="Calibri"/>
          <w:color w:val="auto"/>
        </w:rPr>
        <w:t> »</w:t>
      </w:r>
      <w:r w:rsidRPr="007329D7">
        <w:rPr>
          <w:rFonts w:ascii="Calibri" w:hAnsi="Calibri"/>
          <w:color w:val="auto"/>
        </w:rPr>
        <w:t xml:space="preserve">. </w:t>
      </w:r>
    </w:p>
    <w:p w14:paraId="0F0FC9D6" w14:textId="77777777" w:rsidR="007D62E6" w:rsidRPr="007329D7" w:rsidRDefault="007D62E6" w:rsidP="002F1017">
      <w:pPr>
        <w:pStyle w:val="Corps"/>
        <w:jc w:val="both"/>
        <w:rPr>
          <w:rFonts w:ascii="Calibri" w:hAnsi="Calibri"/>
          <w:color w:val="auto"/>
        </w:rPr>
      </w:pPr>
    </w:p>
    <w:p w14:paraId="39F359D5" w14:textId="04BB8E1A" w:rsidR="00567BCB" w:rsidRPr="007329D7" w:rsidRDefault="00567BCB" w:rsidP="002F1017">
      <w:pPr>
        <w:pStyle w:val="Corps"/>
        <w:jc w:val="both"/>
        <w:rPr>
          <w:rFonts w:ascii="Calibri" w:hAnsi="Calibri"/>
          <w:color w:val="auto"/>
        </w:rPr>
      </w:pPr>
      <w:r w:rsidRPr="007329D7">
        <w:rPr>
          <w:rFonts w:ascii="Calibri" w:hAnsi="Calibri"/>
          <w:color w:val="auto"/>
        </w:rPr>
        <w:t xml:space="preserve">Les droits culturels sont inscrits dans plusieurs textes fondamentaux internationaux, depuis la </w:t>
      </w:r>
      <w:r w:rsidRPr="007329D7">
        <w:rPr>
          <w:rFonts w:ascii="Calibri" w:hAnsi="Calibri"/>
          <w:color w:val="auto"/>
          <w:u w:val="single"/>
        </w:rPr>
        <w:t>Déclaration universelle des droits de l’Homme</w:t>
      </w:r>
      <w:r w:rsidRPr="007329D7">
        <w:rPr>
          <w:rFonts w:ascii="Calibri" w:hAnsi="Calibri"/>
          <w:color w:val="auto"/>
        </w:rPr>
        <w:t xml:space="preserve"> de 1948 jusqu’à la </w:t>
      </w:r>
      <w:r w:rsidRPr="007329D7">
        <w:rPr>
          <w:rFonts w:ascii="Calibri" w:hAnsi="Calibri"/>
          <w:color w:val="auto"/>
          <w:u w:val="single"/>
        </w:rPr>
        <w:t>Déclaration de Fribourg sur les droits culturels</w:t>
      </w:r>
      <w:r w:rsidRPr="007329D7">
        <w:rPr>
          <w:rFonts w:ascii="Calibri" w:hAnsi="Calibri"/>
          <w:color w:val="auto"/>
        </w:rPr>
        <w:t xml:space="preserve"> (2007), qui définit la culture comme « les valeurs, les croyances, les convictions, les langues, les savoirs et les arts, les traditions, institutions et modes de vie par lesquels une personne ou un groupe exprime son humanité et les significations qu’il donne à son existence et à son développement</w:t>
      </w:r>
      <w:r w:rsidR="00652255" w:rsidRPr="007329D7">
        <w:rPr>
          <w:rFonts w:ascii="Calibri" w:hAnsi="Calibri"/>
          <w:color w:val="auto"/>
        </w:rPr>
        <w:t> »</w:t>
      </w:r>
      <w:r w:rsidRPr="007329D7">
        <w:rPr>
          <w:rFonts w:ascii="Calibri" w:hAnsi="Calibri"/>
          <w:color w:val="auto"/>
        </w:rPr>
        <w:t xml:space="preserve">. </w:t>
      </w:r>
    </w:p>
    <w:p w14:paraId="47CA1DD0" w14:textId="4CFA2738" w:rsidR="00567BCB" w:rsidRDefault="00567BCB" w:rsidP="002F1017">
      <w:pPr>
        <w:pStyle w:val="Corps"/>
        <w:jc w:val="both"/>
        <w:rPr>
          <w:rFonts w:ascii="Calibri" w:hAnsi="Calibri"/>
          <w:color w:val="auto"/>
        </w:rPr>
      </w:pPr>
      <w:r w:rsidRPr="007329D7">
        <w:rPr>
          <w:rFonts w:ascii="Calibri" w:hAnsi="Calibri"/>
          <w:color w:val="auto"/>
        </w:rPr>
        <w:lastRenderedPageBreak/>
        <w:t xml:space="preserve">En France, la promotion des droits culturels est récente et s’affirme par l’inscription dans le cadre législatif, notamment la </w:t>
      </w:r>
      <w:r w:rsidRPr="007329D7">
        <w:rPr>
          <w:rFonts w:ascii="Calibri" w:hAnsi="Calibri"/>
          <w:color w:val="auto"/>
          <w:u w:val="single"/>
        </w:rPr>
        <w:t>Loi NOTRe</w:t>
      </w:r>
      <w:r w:rsidRPr="007329D7">
        <w:rPr>
          <w:rFonts w:ascii="Calibri" w:hAnsi="Calibri"/>
          <w:color w:val="auto"/>
        </w:rPr>
        <w:t xml:space="preserve"> portant sur l’organisation territoriale de la République (2015) et la </w:t>
      </w:r>
      <w:r w:rsidRPr="007329D7">
        <w:rPr>
          <w:rFonts w:ascii="Calibri" w:hAnsi="Calibri"/>
          <w:color w:val="auto"/>
          <w:u w:val="single"/>
        </w:rPr>
        <w:t>Loi LCAP sur la création artistique</w:t>
      </w:r>
      <w:r w:rsidRPr="007329D7">
        <w:rPr>
          <w:rFonts w:ascii="Calibri" w:hAnsi="Calibri"/>
          <w:color w:val="auto"/>
        </w:rPr>
        <w:t xml:space="preserve"> (2016). </w:t>
      </w:r>
    </w:p>
    <w:p w14:paraId="14A7F241" w14:textId="77777777" w:rsidR="007D62E6" w:rsidRPr="007329D7" w:rsidRDefault="007D62E6" w:rsidP="002F1017">
      <w:pPr>
        <w:pStyle w:val="Corps"/>
        <w:jc w:val="both"/>
        <w:rPr>
          <w:rFonts w:ascii="Calibri" w:hAnsi="Calibri"/>
          <w:color w:val="auto"/>
        </w:rPr>
      </w:pPr>
    </w:p>
    <w:p w14:paraId="39EF5B28" w14:textId="19393882" w:rsidR="008E7A5A" w:rsidRPr="00BE565E" w:rsidRDefault="00E11835" w:rsidP="007D62E6">
      <w:pPr>
        <w:jc w:val="both"/>
      </w:pPr>
      <w:r w:rsidRPr="00BE565E">
        <w:t xml:space="preserve">Concernant les droits des enfants, la </w:t>
      </w:r>
      <w:r w:rsidRPr="002F1017">
        <w:rPr>
          <w:u w:val="single"/>
        </w:rPr>
        <w:t>Convention internationale des droits de l’enfant</w:t>
      </w:r>
      <w:r w:rsidRPr="00BE565E">
        <w:t xml:space="preserve"> (CIDE), aussi appelée </w:t>
      </w:r>
      <w:r w:rsidRPr="002F1017">
        <w:rPr>
          <w:u w:val="single"/>
        </w:rPr>
        <w:t>Convention relative aux droits de l’enfant</w:t>
      </w:r>
      <w:r w:rsidRPr="00BE565E">
        <w:t xml:space="preserve">, a été adoptée par l’Assemblée générale des Nations unies le 20 novembre 1989. Ce traité international, ratifié par 196 États dont la France, a pour but de reconnaître et protéger les droits spécifiques des enfants, définis comme </w:t>
      </w:r>
      <w:r w:rsidR="00652255">
        <w:t>« </w:t>
      </w:r>
      <w:r w:rsidRPr="00BE565E">
        <w:t>tout être humain âgé de moins de 18 ans</w:t>
      </w:r>
      <w:r w:rsidR="00652255">
        <w:t> »</w:t>
      </w:r>
      <w:r w:rsidRPr="00BE565E">
        <w:t>.</w:t>
      </w:r>
    </w:p>
    <w:sectPr w:rsidR="008E7A5A" w:rsidRPr="00BE565E" w:rsidSect="00575D73">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03A8" w14:textId="77777777" w:rsidR="00775C98" w:rsidRDefault="00775C98" w:rsidP="00D22F09">
      <w:pPr>
        <w:spacing w:after="0" w:line="240" w:lineRule="auto"/>
      </w:pPr>
      <w:r>
        <w:separator/>
      </w:r>
    </w:p>
  </w:endnote>
  <w:endnote w:type="continuationSeparator" w:id="0">
    <w:p w14:paraId="7CF5D541" w14:textId="77777777" w:rsidR="00775C98" w:rsidRDefault="00775C98" w:rsidP="00D2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749823"/>
      <w:docPartObj>
        <w:docPartGallery w:val="Page Numbers (Bottom of Page)"/>
        <w:docPartUnique/>
      </w:docPartObj>
    </w:sdtPr>
    <w:sdtContent>
      <w:p w14:paraId="40642B79" w14:textId="3FB70013" w:rsidR="004C273F" w:rsidRDefault="004C273F">
        <w:pPr>
          <w:pStyle w:val="Pieddepage"/>
        </w:pPr>
        <w:r>
          <w:fldChar w:fldCharType="begin"/>
        </w:r>
        <w:r>
          <w:instrText>PAGE   \* MERGEFORMAT</w:instrText>
        </w:r>
        <w:r>
          <w:fldChar w:fldCharType="separate"/>
        </w:r>
        <w:r>
          <w:t>2</w:t>
        </w:r>
        <w:r>
          <w:fldChar w:fldCharType="end"/>
        </w:r>
        <w:r>
          <w:t xml:space="preserve"> </w:t>
        </w:r>
        <w:r>
          <w:tab/>
          <w:t>Charte bordelaise de l’Education Artistique et Culturelle</w:t>
        </w:r>
      </w:p>
    </w:sdtContent>
  </w:sdt>
  <w:p w14:paraId="760E1D1D" w14:textId="66680A68" w:rsidR="004C273F" w:rsidRDefault="004C273F" w:rsidP="004C273F">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73C6F" w14:textId="77777777" w:rsidR="00775C98" w:rsidRDefault="00775C98" w:rsidP="00D22F09">
      <w:pPr>
        <w:spacing w:after="0" w:line="240" w:lineRule="auto"/>
      </w:pPr>
      <w:r>
        <w:separator/>
      </w:r>
    </w:p>
  </w:footnote>
  <w:footnote w:type="continuationSeparator" w:id="0">
    <w:p w14:paraId="66E258C6" w14:textId="77777777" w:rsidR="00775C98" w:rsidRDefault="00775C98" w:rsidP="00D22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26D0"/>
    <w:multiLevelType w:val="hybridMultilevel"/>
    <w:tmpl w:val="6D8E5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CB87D30"/>
    <w:multiLevelType w:val="hybridMultilevel"/>
    <w:tmpl w:val="DF821420"/>
    <w:styleLink w:val="Tiret"/>
    <w:lvl w:ilvl="0" w:tplc="59D263C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6D7234A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598850A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B18A95A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126C30B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8CA2A66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2DDA62F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4B2A04E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CFCC547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 w15:restartNumberingAfterBreak="0">
    <w:nsid w:val="28BD1523"/>
    <w:multiLevelType w:val="hybridMultilevel"/>
    <w:tmpl w:val="DF821420"/>
    <w:numStyleLink w:val="Tiret"/>
  </w:abstractNum>
  <w:abstractNum w:abstractNumId="3" w15:restartNumberingAfterBreak="0">
    <w:nsid w:val="4290634A"/>
    <w:multiLevelType w:val="multilevel"/>
    <w:tmpl w:val="B0F8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4E1093"/>
    <w:multiLevelType w:val="hybridMultilevel"/>
    <w:tmpl w:val="9FA2A482"/>
    <w:lvl w:ilvl="0" w:tplc="7A08E36C">
      <w:start w:val="1"/>
      <w:numFmt w:val="bullet"/>
      <w:lvlText w:val=""/>
      <w:lvlJc w:val="left"/>
      <w:pPr>
        <w:ind w:left="720" w:hanging="360"/>
      </w:pPr>
      <w:rPr>
        <w:rFonts w:ascii="Symbol" w:hAnsi="Symbol" w:hint="default"/>
        <w:u w:color="BDD6EE" w:themeColor="accent5" w:themeTint="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941F7E"/>
    <w:multiLevelType w:val="hybridMultilevel"/>
    <w:tmpl w:val="72129F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6DC4302"/>
    <w:multiLevelType w:val="hybridMultilevel"/>
    <w:tmpl w:val="E9447C64"/>
    <w:lvl w:ilvl="0" w:tplc="7A08E36C">
      <w:start w:val="1"/>
      <w:numFmt w:val="bullet"/>
      <w:lvlText w:val=""/>
      <w:lvlJc w:val="left"/>
      <w:pPr>
        <w:ind w:left="720" w:hanging="360"/>
      </w:pPr>
      <w:rPr>
        <w:rFonts w:ascii="Symbol" w:hAnsi="Symbol" w:hint="default"/>
        <w:u w:color="BDD6EE" w:themeColor="accent5" w:themeTint="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FC3663"/>
    <w:multiLevelType w:val="hybridMultilevel"/>
    <w:tmpl w:val="4BC88EA4"/>
    <w:lvl w:ilvl="0" w:tplc="7A08E36C">
      <w:start w:val="1"/>
      <w:numFmt w:val="bullet"/>
      <w:lvlText w:val=""/>
      <w:lvlJc w:val="left"/>
      <w:pPr>
        <w:ind w:left="720" w:hanging="360"/>
      </w:pPr>
      <w:rPr>
        <w:rFonts w:ascii="Symbol" w:hAnsi="Symbol" w:hint="default"/>
        <w:u w:color="BDD6EE" w:themeColor="accent5" w:themeTint="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9F14BD"/>
    <w:multiLevelType w:val="hybridMultilevel"/>
    <w:tmpl w:val="745414C8"/>
    <w:lvl w:ilvl="0" w:tplc="719E1622">
      <w:start w:val="3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6A0D37"/>
    <w:multiLevelType w:val="multilevel"/>
    <w:tmpl w:val="5008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0651416">
    <w:abstractNumId w:val="1"/>
  </w:num>
  <w:num w:numId="2" w16cid:durableId="1577058901">
    <w:abstractNumId w:val="2"/>
  </w:num>
  <w:num w:numId="3" w16cid:durableId="1003629830">
    <w:abstractNumId w:val="5"/>
  </w:num>
  <w:num w:numId="4" w16cid:durableId="627320809">
    <w:abstractNumId w:val="9"/>
  </w:num>
  <w:num w:numId="5" w16cid:durableId="2081319812">
    <w:abstractNumId w:val="3"/>
  </w:num>
  <w:num w:numId="6" w16cid:durableId="450560889">
    <w:abstractNumId w:val="8"/>
  </w:num>
  <w:num w:numId="7" w16cid:durableId="1412462240">
    <w:abstractNumId w:val="0"/>
  </w:num>
  <w:num w:numId="8" w16cid:durableId="1887598161">
    <w:abstractNumId w:val="4"/>
  </w:num>
  <w:num w:numId="9" w16cid:durableId="1357195719">
    <w:abstractNumId w:val="6"/>
  </w:num>
  <w:num w:numId="10" w16cid:durableId="340864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CB"/>
    <w:rsid w:val="000A040A"/>
    <w:rsid w:val="001D7BF2"/>
    <w:rsid w:val="001F73AE"/>
    <w:rsid w:val="00253AE2"/>
    <w:rsid w:val="002A616D"/>
    <w:rsid w:val="002F1017"/>
    <w:rsid w:val="00307C4C"/>
    <w:rsid w:val="00340038"/>
    <w:rsid w:val="00353710"/>
    <w:rsid w:val="00380EF1"/>
    <w:rsid w:val="003C6DB5"/>
    <w:rsid w:val="003E5178"/>
    <w:rsid w:val="004138AA"/>
    <w:rsid w:val="004C273F"/>
    <w:rsid w:val="00537FCD"/>
    <w:rsid w:val="00567BCB"/>
    <w:rsid w:val="00575D73"/>
    <w:rsid w:val="00652255"/>
    <w:rsid w:val="00666D4E"/>
    <w:rsid w:val="006F0A84"/>
    <w:rsid w:val="007329D7"/>
    <w:rsid w:val="00775C98"/>
    <w:rsid w:val="007D62E6"/>
    <w:rsid w:val="008E7A5A"/>
    <w:rsid w:val="009A1DA4"/>
    <w:rsid w:val="009B06D2"/>
    <w:rsid w:val="00BE565E"/>
    <w:rsid w:val="00C144F3"/>
    <w:rsid w:val="00C311F4"/>
    <w:rsid w:val="00C50653"/>
    <w:rsid w:val="00D01683"/>
    <w:rsid w:val="00D22F09"/>
    <w:rsid w:val="00D90110"/>
    <w:rsid w:val="00E11835"/>
    <w:rsid w:val="00EC0F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36CF8"/>
  <w15:chartTrackingRefBased/>
  <w15:docId w15:val="{2E20DE73-D46A-4728-B8B9-C2A45D90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B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567BCB"/>
    <w:pPr>
      <w:ind w:left="720"/>
      <w:contextualSpacing/>
    </w:pPr>
  </w:style>
  <w:style w:type="paragraph" w:customStyle="1" w:styleId="Corps">
    <w:name w:val="Corps"/>
    <w:rsid w:val="00567BC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14:textOutline w14:w="0" w14:cap="flat" w14:cmpd="sng" w14:algn="ctr">
        <w14:noFill/>
        <w14:prstDash w14:val="solid"/>
        <w14:bevel/>
      </w14:textOutline>
    </w:rPr>
  </w:style>
  <w:style w:type="character" w:customStyle="1" w:styleId="Aucun">
    <w:name w:val="Aucun"/>
    <w:rsid w:val="00567BCB"/>
    <w:rPr>
      <w:lang w:val="fr-FR"/>
    </w:rPr>
  </w:style>
  <w:style w:type="numbering" w:customStyle="1" w:styleId="Tiret">
    <w:name w:val="Tiret"/>
    <w:rsid w:val="00567BCB"/>
    <w:pPr>
      <w:numPr>
        <w:numId w:val="1"/>
      </w:numPr>
    </w:pPr>
  </w:style>
  <w:style w:type="paragraph" w:customStyle="1" w:styleId="paragraph">
    <w:name w:val="paragraph"/>
    <w:basedOn w:val="Normal"/>
    <w:rsid w:val="00567B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567BCB"/>
  </w:style>
  <w:style w:type="character" w:customStyle="1" w:styleId="eop">
    <w:name w:val="eop"/>
    <w:basedOn w:val="Policepardfaut"/>
    <w:rsid w:val="00567BCB"/>
  </w:style>
  <w:style w:type="character" w:styleId="Marquedecommentaire">
    <w:name w:val="annotation reference"/>
    <w:basedOn w:val="Policepardfaut"/>
    <w:uiPriority w:val="99"/>
    <w:semiHidden/>
    <w:unhideWhenUsed/>
    <w:rsid w:val="00567BCB"/>
    <w:rPr>
      <w:sz w:val="16"/>
      <w:szCs w:val="16"/>
    </w:rPr>
  </w:style>
  <w:style w:type="paragraph" w:styleId="Commentaire">
    <w:name w:val="annotation text"/>
    <w:basedOn w:val="Normal"/>
    <w:link w:val="CommentaireCar"/>
    <w:uiPriority w:val="99"/>
    <w:semiHidden/>
    <w:unhideWhenUsed/>
    <w:rsid w:val="00567BCB"/>
    <w:pPr>
      <w:spacing w:line="240" w:lineRule="auto"/>
    </w:pPr>
    <w:rPr>
      <w:sz w:val="20"/>
      <w:szCs w:val="20"/>
    </w:rPr>
  </w:style>
  <w:style w:type="character" w:customStyle="1" w:styleId="CommentaireCar">
    <w:name w:val="Commentaire Car"/>
    <w:basedOn w:val="Policepardfaut"/>
    <w:link w:val="Commentaire"/>
    <w:uiPriority w:val="99"/>
    <w:semiHidden/>
    <w:rsid w:val="00567BCB"/>
    <w:rPr>
      <w:sz w:val="20"/>
      <w:szCs w:val="20"/>
    </w:rPr>
  </w:style>
  <w:style w:type="character" w:styleId="Lienhypertexte">
    <w:name w:val="Hyperlink"/>
    <w:basedOn w:val="Policepardfaut"/>
    <w:uiPriority w:val="99"/>
    <w:semiHidden/>
    <w:unhideWhenUsed/>
    <w:rsid w:val="00567BCB"/>
    <w:rPr>
      <w:color w:val="0563C1"/>
      <w:u w:val="single"/>
    </w:rPr>
  </w:style>
  <w:style w:type="paragraph" w:styleId="Objetducommentaire">
    <w:name w:val="annotation subject"/>
    <w:basedOn w:val="Commentaire"/>
    <w:next w:val="Commentaire"/>
    <w:link w:val="ObjetducommentaireCar"/>
    <w:uiPriority w:val="99"/>
    <w:semiHidden/>
    <w:unhideWhenUsed/>
    <w:rsid w:val="003E5178"/>
    <w:rPr>
      <w:b/>
      <w:bCs/>
    </w:rPr>
  </w:style>
  <w:style w:type="character" w:customStyle="1" w:styleId="ObjetducommentaireCar">
    <w:name w:val="Objet du commentaire Car"/>
    <w:basedOn w:val="CommentaireCar"/>
    <w:link w:val="Objetducommentaire"/>
    <w:uiPriority w:val="99"/>
    <w:semiHidden/>
    <w:rsid w:val="003E5178"/>
    <w:rPr>
      <w:b/>
      <w:bCs/>
      <w:sz w:val="20"/>
      <w:szCs w:val="20"/>
    </w:rPr>
  </w:style>
  <w:style w:type="paragraph" w:styleId="En-tte">
    <w:name w:val="header"/>
    <w:basedOn w:val="Normal"/>
    <w:link w:val="En-tteCar"/>
    <w:uiPriority w:val="99"/>
    <w:unhideWhenUsed/>
    <w:rsid w:val="00D22F09"/>
    <w:pPr>
      <w:tabs>
        <w:tab w:val="center" w:pos="4536"/>
        <w:tab w:val="right" w:pos="9072"/>
      </w:tabs>
      <w:spacing w:after="0" w:line="240" w:lineRule="auto"/>
    </w:pPr>
  </w:style>
  <w:style w:type="character" w:customStyle="1" w:styleId="En-tteCar">
    <w:name w:val="En-tête Car"/>
    <w:basedOn w:val="Policepardfaut"/>
    <w:link w:val="En-tte"/>
    <w:uiPriority w:val="99"/>
    <w:rsid w:val="00D22F09"/>
  </w:style>
  <w:style w:type="paragraph" w:styleId="Pieddepage">
    <w:name w:val="footer"/>
    <w:basedOn w:val="Normal"/>
    <w:link w:val="PieddepageCar"/>
    <w:uiPriority w:val="99"/>
    <w:unhideWhenUsed/>
    <w:rsid w:val="00D22F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2F09"/>
  </w:style>
  <w:style w:type="paragraph" w:styleId="Textedebulles">
    <w:name w:val="Balloon Text"/>
    <w:basedOn w:val="Normal"/>
    <w:link w:val="TextedebullesCar"/>
    <w:uiPriority w:val="99"/>
    <w:semiHidden/>
    <w:unhideWhenUsed/>
    <w:rsid w:val="002F101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F101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1145">
      <w:bodyDiv w:val="1"/>
      <w:marLeft w:val="0"/>
      <w:marRight w:val="0"/>
      <w:marTop w:val="0"/>
      <w:marBottom w:val="0"/>
      <w:divBdr>
        <w:top w:val="none" w:sz="0" w:space="0" w:color="auto"/>
        <w:left w:val="none" w:sz="0" w:space="0" w:color="auto"/>
        <w:bottom w:val="none" w:sz="0" w:space="0" w:color="auto"/>
        <w:right w:val="none" w:sz="0" w:space="0" w:color="auto"/>
      </w:divBdr>
    </w:div>
    <w:div w:id="100343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2210C-C77D-0E43-959C-8D2F3BCA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1020</Words>
  <Characters>5616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SCHOCK Marion</dc:creator>
  <cp:keywords/>
  <dc:description/>
  <cp:lastModifiedBy>BOMPART Gaëllane</cp:lastModifiedBy>
  <cp:revision>16</cp:revision>
  <cp:lastPrinted>2022-10-03T13:52:00Z</cp:lastPrinted>
  <dcterms:created xsi:type="dcterms:W3CDTF">2022-10-03T13:52:00Z</dcterms:created>
  <dcterms:modified xsi:type="dcterms:W3CDTF">2023-09-11T12:26:00Z</dcterms:modified>
</cp:coreProperties>
</file>